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66397C" w14:textId="77777777" w:rsidR="00FF2BEF" w:rsidRDefault="00FF2BEF">
      <w:pPr>
        <w:rPr>
          <w:lang w:val="en-US"/>
        </w:rPr>
      </w:pPr>
      <w:bookmarkStart w:id="0" w:name="_GoBack"/>
      <w:bookmarkEnd w:id="0"/>
    </w:p>
    <w:p w14:paraId="29D8268B" w14:textId="77777777" w:rsidR="00FF2BEF" w:rsidRDefault="00FF2BEF">
      <w:pPr>
        <w:rPr>
          <w:lang w:val="en-US"/>
        </w:rPr>
      </w:pPr>
    </w:p>
    <w:p w14:paraId="3C1F213F" w14:textId="77777777" w:rsidR="00FF2BEF" w:rsidRDefault="00FF2BEF">
      <w:pPr>
        <w:rPr>
          <w:lang w:val="en-US"/>
        </w:rPr>
      </w:pPr>
    </w:p>
    <w:p w14:paraId="0F258697" w14:textId="77777777" w:rsidR="00FF2BEF" w:rsidRDefault="00FF2BEF">
      <w:pPr>
        <w:rPr>
          <w:lang w:val="en-US"/>
        </w:rPr>
      </w:pPr>
    </w:p>
    <w:p w14:paraId="4B23E203" w14:textId="77777777" w:rsidR="00FF2BEF" w:rsidRDefault="00FF2BEF">
      <w:pPr>
        <w:rPr>
          <w:lang w:val="en-US"/>
        </w:rPr>
      </w:pPr>
    </w:p>
    <w:p w14:paraId="03310BB0" w14:textId="77777777" w:rsidR="00FF2BEF" w:rsidRDefault="00FF2BEF">
      <w:pPr>
        <w:rPr>
          <w:lang w:val="en-US"/>
        </w:rPr>
      </w:pPr>
    </w:p>
    <w:p w14:paraId="32596BD2" w14:textId="77777777" w:rsidR="00FF2BEF" w:rsidRDefault="00FF2BEF">
      <w:pPr>
        <w:rPr>
          <w:lang w:val="en-US"/>
        </w:rPr>
      </w:pPr>
    </w:p>
    <w:p w14:paraId="6BB700C9" w14:textId="77777777" w:rsidR="00FF2BEF" w:rsidRDefault="00FF2BEF">
      <w:pPr>
        <w:rPr>
          <w:lang w:val="en-US"/>
        </w:rPr>
      </w:pPr>
    </w:p>
    <w:p w14:paraId="092D676E" w14:textId="77777777" w:rsidR="00FF2BEF" w:rsidRDefault="00FF2BEF">
      <w:pPr>
        <w:rPr>
          <w:lang w:val="en-US"/>
        </w:rPr>
      </w:pPr>
    </w:p>
    <w:p w14:paraId="5AC77EDA" w14:textId="77777777" w:rsidR="00FF2BEF" w:rsidRDefault="00FF2BEF">
      <w:pPr>
        <w:rPr>
          <w:lang w:val="en-US"/>
        </w:rPr>
      </w:pPr>
    </w:p>
    <w:p w14:paraId="4EFFF2CB" w14:textId="77777777" w:rsidR="00FF2BEF" w:rsidRDefault="00FF2BEF">
      <w:pPr>
        <w:rPr>
          <w:lang w:val="en-US"/>
        </w:rPr>
      </w:pPr>
    </w:p>
    <w:p w14:paraId="6F56CF12" w14:textId="77777777" w:rsidR="00FF2BEF" w:rsidRDefault="00FF2BEF">
      <w:pPr>
        <w:rPr>
          <w:lang w:val="en-US"/>
        </w:rPr>
      </w:pPr>
    </w:p>
    <w:p w14:paraId="32ACD0BE" w14:textId="77777777" w:rsidR="00FF2BEF" w:rsidRDefault="00FF2BEF">
      <w:pPr>
        <w:rPr>
          <w:lang w:val="en-US"/>
        </w:rPr>
      </w:pPr>
    </w:p>
    <w:p w14:paraId="2685B909" w14:textId="77777777" w:rsidR="00FF2BEF" w:rsidRDefault="00FF2BEF">
      <w:pPr>
        <w:rPr>
          <w:lang w:val="en-US"/>
        </w:rPr>
      </w:pPr>
    </w:p>
    <w:p w14:paraId="0523481D" w14:textId="68765409" w:rsidR="00FF2BEF" w:rsidRDefault="003F2E1C" w:rsidP="00FF2BEF">
      <w:pPr>
        <w:jc w:val="center"/>
        <w:rPr>
          <w:lang w:val="en-US"/>
        </w:rPr>
      </w:pPr>
      <w:r w:rsidRPr="00FF2BEF">
        <w:rPr>
          <w:lang w:val="en-US"/>
        </w:rPr>
        <w:t>Forensic Settings</w:t>
      </w:r>
    </w:p>
    <w:p w14:paraId="38ECDDAA" w14:textId="67350FA5" w:rsidR="00FF2BEF" w:rsidRDefault="003F2E1C" w:rsidP="00FF2BEF">
      <w:pPr>
        <w:jc w:val="center"/>
        <w:rPr>
          <w:lang w:val="en-US"/>
        </w:rPr>
      </w:pPr>
      <w:r>
        <w:rPr>
          <w:lang w:val="en-US"/>
        </w:rPr>
        <w:t>Name</w:t>
      </w:r>
    </w:p>
    <w:p w14:paraId="797957C5" w14:textId="442FA203" w:rsidR="00FF2BEF" w:rsidRDefault="003F2E1C" w:rsidP="00FF2BEF">
      <w:pPr>
        <w:jc w:val="center"/>
        <w:rPr>
          <w:lang w:val="en-US"/>
        </w:rPr>
      </w:pPr>
      <w:r>
        <w:rPr>
          <w:lang w:val="en-US"/>
        </w:rPr>
        <w:t>Institution</w:t>
      </w:r>
    </w:p>
    <w:p w14:paraId="726722E1" w14:textId="79B2111D" w:rsidR="00FF2BEF" w:rsidRDefault="00FF2BEF" w:rsidP="00FF2BEF">
      <w:pPr>
        <w:jc w:val="center"/>
        <w:rPr>
          <w:lang w:val="en-US"/>
        </w:rPr>
      </w:pPr>
    </w:p>
    <w:p w14:paraId="3F477DA5" w14:textId="34AC0360" w:rsidR="00FF2BEF" w:rsidRDefault="00FF2BEF" w:rsidP="00FF2BEF">
      <w:pPr>
        <w:jc w:val="center"/>
        <w:rPr>
          <w:lang w:val="en-US"/>
        </w:rPr>
      </w:pPr>
    </w:p>
    <w:p w14:paraId="460A4AF3" w14:textId="13EA1449" w:rsidR="00FF2BEF" w:rsidRDefault="00FF2BEF" w:rsidP="00FF2BEF">
      <w:pPr>
        <w:jc w:val="center"/>
        <w:rPr>
          <w:lang w:val="en-US"/>
        </w:rPr>
      </w:pPr>
    </w:p>
    <w:p w14:paraId="1618FD5A" w14:textId="57BC2E73" w:rsidR="00FF2BEF" w:rsidRDefault="00FF2BEF" w:rsidP="00FF2BEF">
      <w:pPr>
        <w:jc w:val="center"/>
        <w:rPr>
          <w:lang w:val="en-US"/>
        </w:rPr>
      </w:pPr>
    </w:p>
    <w:p w14:paraId="694ED9ED" w14:textId="110B455F" w:rsidR="00FF2BEF" w:rsidRDefault="00FF2BEF" w:rsidP="00FF2BEF">
      <w:pPr>
        <w:jc w:val="center"/>
        <w:rPr>
          <w:lang w:val="en-US"/>
        </w:rPr>
      </w:pPr>
    </w:p>
    <w:p w14:paraId="7871130B" w14:textId="24F47C6B" w:rsidR="00FF2BEF" w:rsidRDefault="00FF2BEF" w:rsidP="00FF2BEF">
      <w:pPr>
        <w:jc w:val="center"/>
        <w:rPr>
          <w:lang w:val="en-US"/>
        </w:rPr>
      </w:pPr>
    </w:p>
    <w:p w14:paraId="5255CC3E" w14:textId="40894947" w:rsidR="00FF2BEF" w:rsidRDefault="00FF2BEF" w:rsidP="00FF2BEF">
      <w:pPr>
        <w:jc w:val="center"/>
        <w:rPr>
          <w:lang w:val="en-US"/>
        </w:rPr>
      </w:pPr>
    </w:p>
    <w:p w14:paraId="6DCD1211" w14:textId="6F3AF7E1" w:rsidR="00FF2BEF" w:rsidRDefault="00FF2BEF" w:rsidP="00FF2BEF">
      <w:pPr>
        <w:jc w:val="center"/>
        <w:rPr>
          <w:lang w:val="en-US"/>
        </w:rPr>
      </w:pPr>
    </w:p>
    <w:p w14:paraId="44446D8C" w14:textId="102B629D" w:rsidR="00FF2BEF" w:rsidRDefault="00FF2BEF" w:rsidP="00FF2BEF">
      <w:pPr>
        <w:jc w:val="center"/>
        <w:rPr>
          <w:lang w:val="en-US"/>
        </w:rPr>
      </w:pPr>
    </w:p>
    <w:p w14:paraId="6B72D0D6" w14:textId="2EC29D9A" w:rsidR="00FF2BEF" w:rsidRDefault="00FF2BEF" w:rsidP="00FF2BEF">
      <w:pPr>
        <w:jc w:val="center"/>
        <w:rPr>
          <w:lang w:val="en-US"/>
        </w:rPr>
      </w:pPr>
    </w:p>
    <w:p w14:paraId="7B24DA29" w14:textId="4FD24018" w:rsidR="00FF2BEF" w:rsidRDefault="00FF2BEF" w:rsidP="00FF2BEF">
      <w:pPr>
        <w:jc w:val="center"/>
        <w:rPr>
          <w:lang w:val="en-US"/>
        </w:rPr>
      </w:pPr>
    </w:p>
    <w:p w14:paraId="4FF1B375" w14:textId="77777777" w:rsidR="00FF2BEF" w:rsidRDefault="00FF2BEF" w:rsidP="00FF2BEF">
      <w:pPr>
        <w:jc w:val="center"/>
        <w:rPr>
          <w:lang w:val="en-US"/>
        </w:rPr>
      </w:pPr>
    </w:p>
    <w:p w14:paraId="516BCA9A" w14:textId="77777777" w:rsidR="00FF2BEF" w:rsidRDefault="00FF2BEF">
      <w:pPr>
        <w:rPr>
          <w:lang w:val="en-US"/>
        </w:rPr>
      </w:pPr>
    </w:p>
    <w:p w14:paraId="6B8B3928" w14:textId="73184530" w:rsidR="00A97071" w:rsidRDefault="003F2E1C" w:rsidP="00FF2BEF">
      <w:pPr>
        <w:spacing w:line="480" w:lineRule="auto"/>
        <w:ind w:firstLine="720"/>
        <w:rPr>
          <w:lang w:val="en-US"/>
        </w:rPr>
      </w:pPr>
      <w:r>
        <w:rPr>
          <w:lang w:val="en-US"/>
        </w:rPr>
        <w:lastRenderedPageBreak/>
        <w:t>Forensic treatment occurs across different settings which provide a strong emphasis on the need to develop a better intervention based on the underlying issues faced by patients.  The key settings that have been considered included in prison and community. Prison setting has significantly evolved in the recent past with increasing cases on mental health. There are different programs which are organized within the prison to ensure a better  emphasis on the underlying changes which provide a unique consideration under which it is possible to focus on the underlying goals which include inmate rehabilitation</w:t>
      </w:r>
      <w:r w:rsidR="00FF2BEF">
        <w:rPr>
          <w:lang w:val="en-US"/>
        </w:rPr>
        <w:t xml:space="preserve"> (</w:t>
      </w:r>
      <w:r w:rsidR="00FF2BEF" w:rsidRPr="00FF2BEF">
        <w:t xml:space="preserve">Shinkfield &amp; Ogloff, 2014). </w:t>
      </w:r>
      <w:r>
        <w:rPr>
          <w:lang w:val="en-US"/>
        </w:rPr>
        <w:t>The common programs that are implemented within prison settings are based on the severity of the patients  where they can consider drug treatment programs, sex offender programs  among others in a bid to provide a reliable evaluation on critical changes which are essential in building a strong emphasis on crucial differences which define improved  focus on the wellbeing among inmates.</w:t>
      </w:r>
    </w:p>
    <w:p w14:paraId="0219567C" w14:textId="353CEC0C" w:rsidR="00E541D0" w:rsidRDefault="003F2E1C" w:rsidP="00FF2BEF">
      <w:pPr>
        <w:spacing w:line="480" w:lineRule="auto"/>
        <w:ind w:firstLine="720"/>
        <w:rPr>
          <w:lang w:val="en-US"/>
        </w:rPr>
      </w:pPr>
      <w:r>
        <w:rPr>
          <w:lang w:val="en-US"/>
        </w:rPr>
        <w:t>Defining a highly operational environment within the prison setting is based on the underlying measures which focus on essential elements which provide a reliable evaluation of crucial issues which determine an improved outcome. Forensic psychologists have a vital role in managing these conditions which provide a greater understanding of important changes which give a strong knowledge of essential measures which define improved outcomes.</w:t>
      </w:r>
      <w:r w:rsidR="00A275FC">
        <w:rPr>
          <w:lang w:val="en-US"/>
        </w:rPr>
        <w:t xml:space="preserve"> Maintaining a strong emphasis on the development of different environment is necessary and help identify essential changes which can help create a strong focus on underlying changes which represent a highly successful operational context. </w:t>
      </w:r>
    </w:p>
    <w:p w14:paraId="4DF8DA82" w14:textId="4410627E" w:rsidR="00E541D0" w:rsidRDefault="003F2E1C" w:rsidP="00FF2BEF">
      <w:pPr>
        <w:spacing w:line="480" w:lineRule="auto"/>
        <w:ind w:firstLine="720"/>
        <w:rPr>
          <w:lang w:val="en-US"/>
        </w:rPr>
      </w:pPr>
      <w:r>
        <w:rPr>
          <w:lang w:val="en-US"/>
        </w:rPr>
        <w:t xml:space="preserve"> Community centers are essential in defining the increasing mental health risk factors which are crucial in </w:t>
      </w:r>
      <w:r w:rsidR="00A275FC">
        <w:rPr>
          <w:lang w:val="en-US"/>
        </w:rPr>
        <w:t>influencing</w:t>
      </w:r>
      <w:r>
        <w:rPr>
          <w:lang w:val="en-US"/>
        </w:rPr>
        <w:t xml:space="preserve"> individual behavior.  The increasing number of mentally ill offenders is mainly  because there are less mental health treatment centers in communities as well as a reduced </w:t>
      </w:r>
      <w:r w:rsidR="00FF2BEF">
        <w:rPr>
          <w:lang w:val="en-US"/>
        </w:rPr>
        <w:t>level</w:t>
      </w:r>
      <w:r w:rsidR="00A275FC">
        <w:rPr>
          <w:lang w:val="en-US"/>
        </w:rPr>
        <w:t xml:space="preserve"> of commitment which provide a reliable evaluation on significant changes which play a critical role in defining increased outcomes. Creating awareness in the </w:t>
      </w:r>
      <w:r w:rsidR="00A275FC">
        <w:rPr>
          <w:lang w:val="en-US"/>
        </w:rPr>
        <w:lastRenderedPageBreak/>
        <w:t>community on the importance of seeking mental health is essential in helping prevent some of these issues which are likely to produce significant challenges in law enforcement within the society</w:t>
      </w:r>
      <w:r w:rsidR="00FF2BEF">
        <w:rPr>
          <w:lang w:val="en-US"/>
        </w:rPr>
        <w:t xml:space="preserve"> (</w:t>
      </w:r>
      <w:r w:rsidR="00FF2BEF" w:rsidRPr="00FF2BEF">
        <w:t>Heilbrun</w:t>
      </w:r>
      <w:r w:rsidR="00FF2BEF" w:rsidRPr="00FF2BEF">
        <w:rPr>
          <w:lang w:val="en-US"/>
        </w:rPr>
        <w:t xml:space="preserve"> </w:t>
      </w:r>
      <w:r w:rsidR="00FF2BEF">
        <w:rPr>
          <w:lang w:val="en-US"/>
        </w:rPr>
        <w:t xml:space="preserve">et al., 2014). </w:t>
      </w:r>
      <w:r w:rsidR="00A275FC">
        <w:rPr>
          <w:lang w:val="en-US"/>
        </w:rPr>
        <w:t>The communities also incorporate different services which are aimed at creating a strong focus on the needs of community members concerning defining necessary changes which are essential for managing mental health needs within a given setting</w:t>
      </w:r>
      <w:r w:rsidR="00FF2BEF">
        <w:rPr>
          <w:lang w:val="en-US"/>
        </w:rPr>
        <w:t xml:space="preserve"> (</w:t>
      </w:r>
      <w:r w:rsidR="00FF2BEF" w:rsidRPr="00FF2BEF">
        <w:t>Maguire,</w:t>
      </w:r>
      <w:r w:rsidR="00FF2BEF">
        <w:rPr>
          <w:lang w:val="en-US"/>
        </w:rPr>
        <w:t xml:space="preserve"> </w:t>
      </w:r>
      <w:r w:rsidR="00FF2BEF" w:rsidRPr="00FF2BEF">
        <w:t>Daffern &amp; Martin, 2014).</w:t>
      </w:r>
    </w:p>
    <w:p w14:paraId="73F45489" w14:textId="72A93954" w:rsidR="00A275FC" w:rsidRDefault="003F2E1C" w:rsidP="00FF2BEF">
      <w:pPr>
        <w:spacing w:line="480" w:lineRule="auto"/>
        <w:ind w:firstLine="720"/>
        <w:rPr>
          <w:lang w:val="en-US"/>
        </w:rPr>
      </w:pPr>
      <w:r>
        <w:rPr>
          <w:lang w:val="en-US"/>
        </w:rPr>
        <w:t xml:space="preserve"> Different therapists prefer working in various settings which provide a strong focus on the under</w:t>
      </w:r>
      <w:r w:rsidR="00FF2BEF">
        <w:rPr>
          <w:lang w:val="en-US"/>
        </w:rPr>
        <w:t>l</w:t>
      </w:r>
      <w:r>
        <w:rPr>
          <w:lang w:val="en-US"/>
        </w:rPr>
        <w:t>ying changes which need to be adequately considered and help define a highly operational context. The level o expertise among  therapists defines the operational environment that they would be more effective</w:t>
      </w:r>
      <w:r w:rsidR="00FF2BEF">
        <w:rPr>
          <w:lang w:val="en-US"/>
        </w:rPr>
        <w:t xml:space="preserve"> (</w:t>
      </w:r>
      <w:r w:rsidR="00FF2BEF" w:rsidRPr="00FF2BEF">
        <w:t xml:space="preserve">Neal &amp; Grisso, 2014). </w:t>
      </w:r>
      <w:r>
        <w:rPr>
          <w:lang w:val="en-US"/>
        </w:rPr>
        <w:t xml:space="preserve"> Some forensic professionals prefer working in a traditional healthcare setting and focus on less violent employees who are easy to manage and ensure that they understand the changes which need to be evaluated and provide an improved emphasis on these changes. Inpatient treatment tends to be risky especially when dealing with inmates. The prison environment is not conducive especially considering overcrowding which makes it challenging to integrate fundamental changes which provide a strong emphasis on high-level intervention that is needed in protecting the wellbeing of forensic professionals as well as other inmates</w:t>
      </w:r>
      <w:r w:rsidR="00FF2BEF">
        <w:rPr>
          <w:lang w:val="en-US"/>
        </w:rPr>
        <w:t xml:space="preserve"> </w:t>
      </w:r>
      <w:r w:rsidR="00FF2BEF" w:rsidRPr="00FF2BEF">
        <w:rPr>
          <w:lang w:val="en-US"/>
        </w:rPr>
        <w:t>(</w:t>
      </w:r>
      <w:r w:rsidR="00FF2BEF" w:rsidRPr="00FF2BEF">
        <w:t>Heilbrun</w:t>
      </w:r>
      <w:r w:rsidR="00FF2BEF" w:rsidRPr="00FF2BEF">
        <w:rPr>
          <w:lang w:val="en-US"/>
        </w:rPr>
        <w:t xml:space="preserve"> et al., 2014). </w:t>
      </w:r>
    </w:p>
    <w:p w14:paraId="33B67B62" w14:textId="0AE35240" w:rsidR="00FF2BEF" w:rsidRDefault="00FF2BEF">
      <w:pPr>
        <w:rPr>
          <w:lang w:val="en-US"/>
        </w:rPr>
      </w:pPr>
    </w:p>
    <w:p w14:paraId="4DD712A1" w14:textId="4EF278DD" w:rsidR="00FF2BEF" w:rsidRDefault="00FF2BEF">
      <w:pPr>
        <w:rPr>
          <w:lang w:val="en-US"/>
        </w:rPr>
      </w:pPr>
    </w:p>
    <w:p w14:paraId="47138FF9" w14:textId="54872D8E" w:rsidR="00FF2BEF" w:rsidRDefault="00FF2BEF">
      <w:pPr>
        <w:rPr>
          <w:lang w:val="en-US"/>
        </w:rPr>
      </w:pPr>
    </w:p>
    <w:p w14:paraId="60EB8237" w14:textId="45EF6BD2" w:rsidR="00FF2BEF" w:rsidRDefault="00FF2BEF">
      <w:pPr>
        <w:rPr>
          <w:lang w:val="en-US"/>
        </w:rPr>
      </w:pPr>
    </w:p>
    <w:p w14:paraId="0D082A17" w14:textId="0D435CD2" w:rsidR="00FF2BEF" w:rsidRDefault="00FF2BEF">
      <w:pPr>
        <w:rPr>
          <w:lang w:val="en-US"/>
        </w:rPr>
      </w:pPr>
    </w:p>
    <w:p w14:paraId="6C4C9B0F" w14:textId="51E5862F" w:rsidR="00FF2BEF" w:rsidRDefault="00FF2BEF">
      <w:pPr>
        <w:rPr>
          <w:lang w:val="en-US"/>
        </w:rPr>
      </w:pPr>
    </w:p>
    <w:p w14:paraId="6D599D1A" w14:textId="21ECDB18" w:rsidR="00FF2BEF" w:rsidRDefault="00FF2BEF">
      <w:pPr>
        <w:rPr>
          <w:lang w:val="en-US"/>
        </w:rPr>
      </w:pPr>
    </w:p>
    <w:p w14:paraId="169DE9E2" w14:textId="4322457D" w:rsidR="00FF2BEF" w:rsidRDefault="00FF2BEF">
      <w:pPr>
        <w:rPr>
          <w:lang w:val="en-US"/>
        </w:rPr>
      </w:pPr>
    </w:p>
    <w:p w14:paraId="14D0A3B4" w14:textId="77777777" w:rsidR="00FF2BEF" w:rsidRDefault="00FF2BEF">
      <w:pPr>
        <w:rPr>
          <w:lang w:val="en-US"/>
        </w:rPr>
      </w:pPr>
    </w:p>
    <w:p w14:paraId="65DFBBD0" w14:textId="2324FB52" w:rsidR="00FF2BEF" w:rsidRDefault="003F2E1C" w:rsidP="00FF2BEF">
      <w:pPr>
        <w:jc w:val="center"/>
        <w:rPr>
          <w:lang w:val="en-US"/>
        </w:rPr>
      </w:pPr>
      <w:r>
        <w:rPr>
          <w:lang w:val="en-US"/>
        </w:rPr>
        <w:t>References</w:t>
      </w:r>
    </w:p>
    <w:p w14:paraId="7FEE1453" w14:textId="77777777" w:rsidR="00FF2BEF" w:rsidRDefault="003F2E1C" w:rsidP="00FF2BEF">
      <w:pPr>
        <w:spacing w:line="480" w:lineRule="auto"/>
        <w:ind w:left="720" w:hanging="720"/>
      </w:pPr>
      <w:r w:rsidRPr="00FF2BEF">
        <w:t>Heilbrun, K., DeMatteo, D., Holliday, S. B., &amp; LaDuke, C. (Eds.). (2014). </w:t>
      </w:r>
      <w:r w:rsidRPr="00FF2BEF">
        <w:rPr>
          <w:i/>
          <w:iCs/>
        </w:rPr>
        <w:t>Forensic mental health assessment: A casebook</w:t>
      </w:r>
      <w:r w:rsidRPr="00FF2BEF">
        <w:t>. Oxford University Press, USA.</w:t>
      </w:r>
    </w:p>
    <w:p w14:paraId="6B8EBBFF" w14:textId="77777777" w:rsidR="00FF2BEF" w:rsidRDefault="003F2E1C" w:rsidP="00FF2BEF">
      <w:pPr>
        <w:spacing w:line="480" w:lineRule="auto"/>
        <w:ind w:left="720" w:hanging="720"/>
      </w:pPr>
      <w:r w:rsidRPr="00FF2BEF">
        <w:t>Maguire, T., Daffern, M., &amp; Martin, T. (2014). Exploring nurses' and patients' perspectives of limit setting in a forensic mental health setting. </w:t>
      </w:r>
      <w:r w:rsidRPr="00FF2BEF">
        <w:rPr>
          <w:i/>
          <w:iCs/>
        </w:rPr>
        <w:t>International journal of mental health nursing</w:t>
      </w:r>
      <w:r w:rsidRPr="00FF2BEF">
        <w:t>, </w:t>
      </w:r>
      <w:r w:rsidRPr="00FF2BEF">
        <w:rPr>
          <w:i/>
          <w:iCs/>
        </w:rPr>
        <w:t>23</w:t>
      </w:r>
      <w:r w:rsidRPr="00FF2BEF">
        <w:t>(2), 153-160.</w:t>
      </w:r>
    </w:p>
    <w:p w14:paraId="5DCF0B9D" w14:textId="77777777" w:rsidR="00FF2BEF" w:rsidRDefault="003F2E1C" w:rsidP="00FF2BEF">
      <w:pPr>
        <w:spacing w:line="480" w:lineRule="auto"/>
        <w:ind w:left="720" w:hanging="720"/>
      </w:pPr>
      <w:r w:rsidRPr="00FF2BEF">
        <w:t>Neal, T., &amp; Grisso, T. (2014). The cognitive underpinnings of bias in forensic mental health evaluations. </w:t>
      </w:r>
      <w:r w:rsidRPr="00FF2BEF">
        <w:rPr>
          <w:i/>
          <w:iCs/>
        </w:rPr>
        <w:t>Psychology, Public Policy, and Law</w:t>
      </w:r>
      <w:r w:rsidRPr="00FF2BEF">
        <w:t>, </w:t>
      </w:r>
      <w:r w:rsidRPr="00FF2BEF">
        <w:rPr>
          <w:i/>
          <w:iCs/>
        </w:rPr>
        <w:t>20</w:t>
      </w:r>
      <w:r w:rsidRPr="00FF2BEF">
        <w:t>(2), 200.</w:t>
      </w:r>
    </w:p>
    <w:p w14:paraId="6AFD681D" w14:textId="77777777" w:rsidR="00FF2BEF" w:rsidRPr="00E541D0" w:rsidRDefault="003F2E1C" w:rsidP="00FF2BEF">
      <w:pPr>
        <w:spacing w:line="480" w:lineRule="auto"/>
        <w:ind w:left="720" w:hanging="720"/>
        <w:rPr>
          <w:lang w:val="en-US"/>
        </w:rPr>
      </w:pPr>
      <w:r w:rsidRPr="00FF2BEF">
        <w:t>Shinkfield, G., &amp; Ogloff, J. (2014). A review and analysis of routine outcome measures for forensic mental health services. </w:t>
      </w:r>
      <w:r w:rsidRPr="00FF2BEF">
        <w:rPr>
          <w:i/>
          <w:iCs/>
        </w:rPr>
        <w:t>International Journal of Forensic Mental Health</w:t>
      </w:r>
      <w:r w:rsidRPr="00FF2BEF">
        <w:t>, </w:t>
      </w:r>
      <w:r w:rsidRPr="00FF2BEF">
        <w:rPr>
          <w:i/>
          <w:iCs/>
        </w:rPr>
        <w:t>13</w:t>
      </w:r>
      <w:r w:rsidRPr="00FF2BEF">
        <w:t>(3), 252-271.</w:t>
      </w:r>
    </w:p>
    <w:sectPr w:rsidR="00FF2BEF" w:rsidRPr="00E541D0" w:rsidSect="00FF2BE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F4F1CA" w14:textId="77777777" w:rsidR="00A14CE4" w:rsidRDefault="00A14CE4">
      <w:pPr>
        <w:spacing w:after="0" w:line="240" w:lineRule="auto"/>
      </w:pPr>
      <w:r>
        <w:separator/>
      </w:r>
    </w:p>
  </w:endnote>
  <w:endnote w:type="continuationSeparator" w:id="0">
    <w:p w14:paraId="5D85EB30" w14:textId="77777777" w:rsidR="00A14CE4" w:rsidRDefault="00A14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665AD2" w14:textId="77777777" w:rsidR="00A14CE4" w:rsidRDefault="00A14CE4">
      <w:pPr>
        <w:spacing w:after="0" w:line="240" w:lineRule="auto"/>
      </w:pPr>
      <w:r>
        <w:separator/>
      </w:r>
    </w:p>
  </w:footnote>
  <w:footnote w:type="continuationSeparator" w:id="0">
    <w:p w14:paraId="557D78D7" w14:textId="77777777" w:rsidR="00A14CE4" w:rsidRDefault="00A14C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F7C01" w14:textId="30FDA2AE" w:rsidR="00FF2BEF" w:rsidRDefault="003F2E1C">
    <w:pPr>
      <w:pStyle w:val="Header"/>
      <w:jc w:val="right"/>
    </w:pPr>
    <w:r w:rsidRPr="00FF2BEF">
      <w:rPr>
        <w:lang w:val="en-US"/>
      </w:rPr>
      <w:t xml:space="preserve">FORENSIC SETTINGS  </w:t>
    </w:r>
    <w:r>
      <w:rPr>
        <w:lang w:val="en-US"/>
      </w:rPr>
      <w:t xml:space="preserve">                                                                                                     </w:t>
    </w:r>
    <w:sdt>
      <w:sdtPr>
        <w:id w:val="9721795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468B6DE" w14:textId="77777777" w:rsidR="00FF2BEF" w:rsidRDefault="00FF2B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65EEE" w14:textId="6F8F342A" w:rsidR="00FF2BEF" w:rsidRDefault="003F2E1C">
    <w:pPr>
      <w:pStyle w:val="Header"/>
      <w:jc w:val="right"/>
    </w:pPr>
    <w:r>
      <w:rPr>
        <w:lang w:val="en-US"/>
      </w:rPr>
      <w:t xml:space="preserve">Running head: FORENSIC SETTINGS                                                                                   </w:t>
    </w:r>
    <w:sdt>
      <w:sdtPr>
        <w:id w:val="19384025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D22F4E1" w14:textId="77777777" w:rsidR="00FF2BEF" w:rsidRDefault="00FF2B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M0tjAzNzUzNbQwNzZS0lEKTi0uzszPAykwrAUAOBH2mCwAAAA="/>
  </w:docVars>
  <w:rsids>
    <w:rsidRoot w:val="00E541D0"/>
    <w:rsid w:val="0027502E"/>
    <w:rsid w:val="002C69B5"/>
    <w:rsid w:val="003F2E1C"/>
    <w:rsid w:val="00A14CE4"/>
    <w:rsid w:val="00A275FC"/>
    <w:rsid w:val="00A97071"/>
    <w:rsid w:val="00D425A1"/>
    <w:rsid w:val="00E541D0"/>
    <w:rsid w:val="00FF2BE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3F5121-6B81-437F-A994-67E758BBD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2B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2BEF"/>
  </w:style>
  <w:style w:type="paragraph" w:styleId="Footer">
    <w:name w:val="footer"/>
    <w:basedOn w:val="Normal"/>
    <w:link w:val="FooterChar"/>
    <w:uiPriority w:val="99"/>
    <w:unhideWhenUsed/>
    <w:rsid w:val="00FF2B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2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2019-03-04T02:04:00Z</dcterms:created>
  <dcterms:modified xsi:type="dcterms:W3CDTF">2019-03-04T02:04:00Z</dcterms:modified>
</cp:coreProperties>
</file>